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0943" w14:textId="77777777" w:rsidR="00CF3F40" w:rsidRPr="00804C4B" w:rsidRDefault="00CF3F40" w:rsidP="00CF3F40">
      <w:pPr>
        <w:rPr>
          <w:rFonts w:cs="Arial"/>
          <w:b/>
          <w:bCs/>
          <w:sz w:val="24"/>
        </w:rPr>
      </w:pPr>
      <w:r w:rsidRPr="00804C4B">
        <w:rPr>
          <w:rFonts w:cs="Arial"/>
          <w:b/>
          <w:bCs/>
          <w:sz w:val="24"/>
        </w:rPr>
        <w:t>Vorlage: Merkblatt zum Schutz vor sexueller Belästigung</w:t>
      </w:r>
    </w:p>
    <w:p w14:paraId="0DBFEE4A" w14:textId="77777777" w:rsidR="00CF3F40" w:rsidRPr="00804C4B" w:rsidRDefault="00CF3F40" w:rsidP="00CF3F40">
      <w:pPr>
        <w:spacing w:after="160"/>
        <w:rPr>
          <w:rFonts w:cs="Arial"/>
          <w:b/>
          <w:bCs/>
          <w:szCs w:val="20"/>
        </w:rPr>
      </w:pPr>
    </w:p>
    <w:p w14:paraId="17254109" w14:textId="77777777" w:rsidR="00CF3F40" w:rsidRPr="00804C4B" w:rsidRDefault="00CF3F40" w:rsidP="00CF3F40">
      <w:pPr>
        <w:rPr>
          <w:rFonts w:cs="Arial"/>
          <w:b/>
          <w:bCs/>
          <w:sz w:val="24"/>
        </w:rPr>
      </w:pPr>
      <w:r w:rsidRPr="00804C4B">
        <w:rPr>
          <w:rFonts w:cs="Arial"/>
          <w:b/>
          <w:bCs/>
          <w:sz w:val="24"/>
        </w:rPr>
        <w:t>Merkblatt zum Schutz vor sexueller Belästigung</w:t>
      </w:r>
    </w:p>
    <w:p w14:paraId="0B3CC56F" w14:textId="77777777" w:rsidR="00CF3F40" w:rsidRPr="00804C4B" w:rsidRDefault="00CF3F40" w:rsidP="00CF3F40">
      <w:pPr>
        <w:spacing w:after="160"/>
        <w:rPr>
          <w:rFonts w:cs="Arial"/>
          <w:b/>
          <w:bCs/>
          <w:szCs w:val="20"/>
        </w:rPr>
      </w:pPr>
    </w:p>
    <w:p w14:paraId="356EF646" w14:textId="77777777" w:rsidR="00CF3F40" w:rsidRPr="00804C4B" w:rsidRDefault="00CF3F40" w:rsidP="00CF3F40">
      <w:pPr>
        <w:rPr>
          <w:rFonts w:cs="Arial"/>
          <w:b/>
          <w:bCs/>
          <w:sz w:val="22"/>
          <w:szCs w:val="22"/>
        </w:rPr>
      </w:pPr>
      <w:r w:rsidRPr="00804C4B">
        <w:rPr>
          <w:rFonts w:cs="Arial"/>
          <w:b/>
          <w:bCs/>
          <w:sz w:val="22"/>
          <w:szCs w:val="22"/>
        </w:rPr>
        <w:t>Grundsatz</w:t>
      </w:r>
    </w:p>
    <w:p w14:paraId="5F8B3AC3" w14:textId="77777777" w:rsidR="00CF3F40" w:rsidRPr="00804C4B" w:rsidRDefault="00CF3F40" w:rsidP="00CF3F40">
      <w:pPr>
        <w:pStyle w:val="Kommentartext"/>
        <w:spacing w:after="0" w:line="340" w:lineRule="exact"/>
        <w:rPr>
          <w:rFonts w:ascii="Arial" w:hAnsi="Arial" w:cs="Arial"/>
        </w:rPr>
      </w:pPr>
      <w:r w:rsidRPr="00804C4B">
        <w:rPr>
          <w:rFonts w:ascii="Arial" w:hAnsi="Arial" w:cs="Arial"/>
        </w:rPr>
        <w:t>Sexuelle Belästigung ist – unabhängig von Geschlecht, Herkunft, Alter oder beruflicher Position – gemäss Gleichstellungsgesetz verboten. Unsere Firma sorgt für ein Arbeitsklima, das frei von sexuellen Belästigungen ist. Wir halten ausdrücklich fest, dass wir kein belästigendes Verhalten dulden. Diesbezügliche Handlungen werden sanktioniert.</w:t>
      </w:r>
    </w:p>
    <w:p w14:paraId="50F54291" w14:textId="77777777" w:rsidR="00CF3F40" w:rsidRPr="00804C4B" w:rsidRDefault="00CF3F40" w:rsidP="00CF3F40">
      <w:pPr>
        <w:pStyle w:val="Kommentartext"/>
        <w:spacing w:after="0" w:line="340" w:lineRule="exact"/>
        <w:rPr>
          <w:rFonts w:ascii="Arial" w:hAnsi="Arial" w:cs="Arial"/>
        </w:rPr>
      </w:pPr>
    </w:p>
    <w:p w14:paraId="45AF0769" w14:textId="7B5A4425" w:rsidR="00CF3F40" w:rsidRPr="00804C4B" w:rsidRDefault="00CF3F40" w:rsidP="00CF3F40">
      <w:pPr>
        <w:pStyle w:val="Kommentartext"/>
        <w:spacing w:after="0" w:line="340" w:lineRule="exact"/>
        <w:rPr>
          <w:rFonts w:ascii="Arial" w:hAnsi="Arial" w:cs="Arial"/>
        </w:rPr>
      </w:pPr>
      <w:r w:rsidRPr="00804C4B">
        <w:rPr>
          <w:rFonts w:ascii="Arial" w:hAnsi="Arial" w:cs="Arial"/>
          <w:b/>
          <w:bCs/>
          <w:sz w:val="22"/>
          <w:szCs w:val="22"/>
        </w:rPr>
        <w:t>Definition</w:t>
      </w:r>
    </w:p>
    <w:p w14:paraId="66BC25B4" w14:textId="77777777" w:rsidR="00CF3F40" w:rsidRPr="00804C4B" w:rsidRDefault="00CF3F40" w:rsidP="00CF3F40">
      <w:pPr>
        <w:rPr>
          <w:rFonts w:cs="Arial"/>
          <w:szCs w:val="20"/>
        </w:rPr>
      </w:pPr>
      <w:r w:rsidRPr="00804C4B">
        <w:rPr>
          <w:rFonts w:cs="Arial"/>
          <w:szCs w:val="20"/>
        </w:rPr>
        <w:t xml:space="preserve">Jedes Verhalten mit sexuellem Bezug – ob Worte, Gesten oder Taten –, das von einer Seite unerwünscht ist, gilt als sexuelle Belästigung. Sexuelle Belästigung ist eine strafrechtliche Handlung, dazu zählen unter anderem: </w:t>
      </w:r>
    </w:p>
    <w:p w14:paraId="5AFF4D12" w14:textId="77777777" w:rsidR="00CF3F40" w:rsidRPr="00804C4B" w:rsidRDefault="00CF3F40" w:rsidP="00CF3F40">
      <w:pPr>
        <w:pStyle w:val="Listenabsatz"/>
        <w:numPr>
          <w:ilvl w:val="0"/>
          <w:numId w:val="30"/>
        </w:numPr>
        <w:tabs>
          <w:tab w:val="clear" w:pos="1401"/>
        </w:tabs>
        <w:spacing w:after="160"/>
        <w:contextualSpacing/>
        <w:rPr>
          <w:rFonts w:cs="Arial"/>
          <w:szCs w:val="20"/>
          <w:lang w:val="de-CH"/>
        </w:rPr>
      </w:pPr>
      <w:r w:rsidRPr="00804C4B">
        <w:rPr>
          <w:rFonts w:cs="Arial"/>
          <w:szCs w:val="20"/>
          <w:lang w:val="de-CH"/>
        </w:rPr>
        <w:t>Vorzeigen, Aufhängen, Auflegen und Verschicken (auch elektronisch) von pornografischem Material</w:t>
      </w:r>
    </w:p>
    <w:p w14:paraId="0F3C8DD9" w14:textId="77777777" w:rsidR="00CF3F40" w:rsidRPr="00804C4B" w:rsidRDefault="00CF3F40" w:rsidP="00CF3F40">
      <w:pPr>
        <w:pStyle w:val="Listenabsatz"/>
        <w:numPr>
          <w:ilvl w:val="0"/>
          <w:numId w:val="30"/>
        </w:numPr>
        <w:tabs>
          <w:tab w:val="clear" w:pos="1401"/>
        </w:tabs>
        <w:spacing w:after="0"/>
        <w:contextualSpacing/>
        <w:rPr>
          <w:rFonts w:cs="Arial"/>
          <w:szCs w:val="20"/>
          <w:lang w:val="de-CH"/>
        </w:rPr>
      </w:pPr>
      <w:r w:rsidRPr="00804C4B">
        <w:rPr>
          <w:rFonts w:cs="Arial"/>
          <w:szCs w:val="20"/>
          <w:lang w:val="de-CH"/>
        </w:rPr>
        <w:t>Anzügliche Bemerkungen und sexistische «Witze»</w:t>
      </w:r>
    </w:p>
    <w:p w14:paraId="211A7D4C" w14:textId="77777777" w:rsidR="00CF3F40" w:rsidRPr="00804C4B" w:rsidRDefault="00CF3F40" w:rsidP="00CF3F40">
      <w:pPr>
        <w:pStyle w:val="Listenabsatz"/>
        <w:numPr>
          <w:ilvl w:val="0"/>
          <w:numId w:val="30"/>
        </w:numPr>
        <w:tabs>
          <w:tab w:val="clear" w:pos="1401"/>
        </w:tabs>
        <w:spacing w:after="0"/>
        <w:contextualSpacing/>
        <w:rPr>
          <w:rFonts w:cs="Arial"/>
          <w:szCs w:val="20"/>
          <w:lang w:val="de-CH"/>
        </w:rPr>
      </w:pPr>
      <w:r w:rsidRPr="00804C4B">
        <w:rPr>
          <w:rFonts w:cs="Arial"/>
          <w:szCs w:val="20"/>
          <w:lang w:val="de-CH"/>
        </w:rPr>
        <w:t>Aufdringliche und taxierende Blicke</w:t>
      </w:r>
    </w:p>
    <w:p w14:paraId="1045A0AF" w14:textId="77777777" w:rsidR="00CF3F40" w:rsidRPr="00804C4B" w:rsidRDefault="00CF3F40" w:rsidP="00CF3F40">
      <w:pPr>
        <w:pStyle w:val="Listenabsatz"/>
        <w:numPr>
          <w:ilvl w:val="0"/>
          <w:numId w:val="30"/>
        </w:numPr>
        <w:tabs>
          <w:tab w:val="clear" w:pos="1401"/>
        </w:tabs>
        <w:spacing w:after="0"/>
        <w:contextualSpacing/>
        <w:rPr>
          <w:rFonts w:cs="Arial"/>
          <w:szCs w:val="20"/>
          <w:lang w:val="de-CH"/>
        </w:rPr>
      </w:pPr>
      <w:r w:rsidRPr="00804C4B">
        <w:rPr>
          <w:rFonts w:cs="Arial"/>
          <w:szCs w:val="20"/>
          <w:lang w:val="de-CH"/>
        </w:rPr>
        <w:t>Unerwünschte Körperkontakte und Berührungen</w:t>
      </w:r>
    </w:p>
    <w:p w14:paraId="5A320568" w14:textId="77777777" w:rsidR="00CF3F40" w:rsidRPr="00804C4B" w:rsidRDefault="00CF3F40" w:rsidP="00CF3F40">
      <w:pPr>
        <w:pStyle w:val="Listenabsatz"/>
        <w:numPr>
          <w:ilvl w:val="0"/>
          <w:numId w:val="30"/>
        </w:numPr>
        <w:tabs>
          <w:tab w:val="clear" w:pos="1401"/>
        </w:tabs>
        <w:spacing w:after="0"/>
        <w:contextualSpacing/>
        <w:rPr>
          <w:rFonts w:cs="Arial"/>
          <w:szCs w:val="20"/>
          <w:lang w:val="de-CH"/>
        </w:rPr>
      </w:pPr>
      <w:r w:rsidRPr="00804C4B">
        <w:rPr>
          <w:rFonts w:cs="Arial"/>
          <w:szCs w:val="20"/>
          <w:lang w:val="de-CH"/>
        </w:rPr>
        <w:t>Annäherungsversuche und Druckausüben, um ein Entgegenkommen sexueller Art zu erlangen – oft verbunden mit dem Versprechen von Vorteilen und dem Androhen von Nachteilen</w:t>
      </w:r>
    </w:p>
    <w:p w14:paraId="4C064A96" w14:textId="77777777" w:rsidR="00CF3F40" w:rsidRPr="00804C4B" w:rsidRDefault="00CF3F40" w:rsidP="00CF3F40">
      <w:pPr>
        <w:pStyle w:val="Listenabsatz"/>
        <w:numPr>
          <w:ilvl w:val="0"/>
          <w:numId w:val="30"/>
        </w:numPr>
        <w:tabs>
          <w:tab w:val="clear" w:pos="1401"/>
        </w:tabs>
        <w:spacing w:after="0"/>
        <w:contextualSpacing/>
        <w:rPr>
          <w:rFonts w:cs="Arial"/>
          <w:szCs w:val="20"/>
          <w:lang w:val="de-CH"/>
        </w:rPr>
      </w:pPr>
      <w:r w:rsidRPr="00804C4B">
        <w:rPr>
          <w:rFonts w:cs="Arial"/>
          <w:szCs w:val="20"/>
          <w:lang w:val="de-CH"/>
        </w:rPr>
        <w:t>Körperliche Übergriffe bis hin zur Vergewaltigung</w:t>
      </w:r>
    </w:p>
    <w:p w14:paraId="2868343C" w14:textId="77777777" w:rsidR="00CF3F40" w:rsidRPr="00804C4B" w:rsidRDefault="00CF3F40" w:rsidP="00CF3F40">
      <w:pPr>
        <w:rPr>
          <w:rFonts w:cs="Arial"/>
          <w:szCs w:val="20"/>
        </w:rPr>
      </w:pPr>
    </w:p>
    <w:p w14:paraId="40A8B02C" w14:textId="77777777" w:rsidR="00CF3F40" w:rsidRPr="00804C4B" w:rsidRDefault="00CF3F40" w:rsidP="00CF3F40">
      <w:pPr>
        <w:rPr>
          <w:rFonts w:cs="Arial"/>
          <w:b/>
          <w:bCs/>
          <w:sz w:val="22"/>
          <w:szCs w:val="22"/>
        </w:rPr>
      </w:pPr>
      <w:r w:rsidRPr="00804C4B">
        <w:rPr>
          <w:rFonts w:cs="Arial"/>
          <w:b/>
          <w:bCs/>
          <w:sz w:val="22"/>
          <w:szCs w:val="22"/>
        </w:rPr>
        <w:t>Verantwortung des Arbeitgebers</w:t>
      </w:r>
    </w:p>
    <w:p w14:paraId="29AAA09E" w14:textId="77777777" w:rsidR="00CF3F40" w:rsidRPr="00804C4B" w:rsidRDefault="00CF3F40" w:rsidP="00CF3F40">
      <w:pPr>
        <w:rPr>
          <w:rFonts w:cs="Arial"/>
          <w:szCs w:val="20"/>
        </w:rPr>
      </w:pPr>
      <w:r w:rsidRPr="00804C4B">
        <w:rPr>
          <w:rFonts w:cs="Arial"/>
          <w:szCs w:val="20"/>
        </w:rPr>
        <w:t xml:space="preserve">Wir treffen Massnahmen, um sexuelle Belästigung zu vermeiden und zu unterbinden. Dieses Merkblatt erhalten alle Mitarbeitenden zur Information. Zudem werden Vorgesetzte für das Thema sensibilisiert. Sie sind in ihrem Zuständigkeitsbereich für eine belästigungsfreie Arbeitsatmosphäre verantwortlich. Sie haben Beschwerden ernst zu nehmen und den betroffenen Personen unvoreingenommen zuzuhören. Bei Verdacht auf oder Kenntnis von sexueller Belästigung haben wir als Arbeitgeber und unsere Führungskräfte die Pflicht, die betroffene Person zu schützen und die Anschuldigungen mittels eines Verfahrens schnell und fair abzuklären. </w:t>
      </w:r>
    </w:p>
    <w:p w14:paraId="7237A3EF" w14:textId="77777777" w:rsidR="00CF3F40" w:rsidRPr="00804C4B" w:rsidRDefault="00CF3F40" w:rsidP="00CF3F40">
      <w:pPr>
        <w:rPr>
          <w:rFonts w:cs="Arial"/>
          <w:szCs w:val="20"/>
        </w:rPr>
      </w:pPr>
    </w:p>
    <w:p w14:paraId="3ECD4EC3" w14:textId="11E0A571" w:rsidR="00CF3F40" w:rsidRPr="00804C4B" w:rsidRDefault="00CF3F40" w:rsidP="00CF3F40">
      <w:pPr>
        <w:rPr>
          <w:rFonts w:cs="Arial"/>
          <w:b/>
          <w:bCs/>
          <w:sz w:val="22"/>
          <w:szCs w:val="22"/>
        </w:rPr>
      </w:pPr>
      <w:r w:rsidRPr="00804C4B">
        <w:rPr>
          <w:rFonts w:cs="Arial"/>
          <w:b/>
          <w:bCs/>
          <w:sz w:val="22"/>
          <w:szCs w:val="22"/>
        </w:rPr>
        <w:t>Mitwirkungspflicht des Arbeitnehmers</w:t>
      </w:r>
    </w:p>
    <w:p w14:paraId="65535C64" w14:textId="77777777" w:rsidR="00CF3F40" w:rsidRPr="00804C4B" w:rsidRDefault="00CF3F40" w:rsidP="00CF3F40">
      <w:pPr>
        <w:rPr>
          <w:rFonts w:cs="Arial"/>
          <w:szCs w:val="20"/>
        </w:rPr>
      </w:pPr>
      <w:r w:rsidRPr="00804C4B">
        <w:rPr>
          <w:rFonts w:cs="Arial"/>
          <w:szCs w:val="20"/>
        </w:rPr>
        <w:t>Als Mitarbeiterin oder Mitarbeiter haben Sie eine Mitwirkungspflicht und sind aufgefordert, es Ihrer / Ihrem Vorgesetzten zu melden, wenn Sie eine sexuelle Belästigung bemerken. Auch sind alle Mitarbeitenden aufgefordert, der belästigenden Person unmissverständlich und sachlich klarzumachen, dass ihr Verhalten unangebracht und unerwünscht ist. Damit möchten wir eine Kultur der Offenheit und Transparenz fördern.</w:t>
      </w:r>
    </w:p>
    <w:p w14:paraId="05A259A1" w14:textId="77777777" w:rsidR="00CF3F40" w:rsidRPr="00804C4B" w:rsidRDefault="00CF3F40">
      <w:pPr>
        <w:rPr>
          <w:rFonts w:cs="Arial"/>
          <w:b/>
          <w:bCs/>
          <w:sz w:val="22"/>
          <w:szCs w:val="22"/>
        </w:rPr>
      </w:pPr>
      <w:r w:rsidRPr="00804C4B">
        <w:rPr>
          <w:rFonts w:cs="Arial"/>
          <w:b/>
          <w:bCs/>
          <w:sz w:val="22"/>
          <w:szCs w:val="22"/>
        </w:rPr>
        <w:br w:type="page"/>
      </w:r>
    </w:p>
    <w:p w14:paraId="53505D6C" w14:textId="6AB039B2" w:rsidR="00CF3F40" w:rsidRPr="00804C4B" w:rsidRDefault="00CF3F40" w:rsidP="00CF3F40">
      <w:pPr>
        <w:rPr>
          <w:rFonts w:cs="Arial"/>
          <w:b/>
          <w:bCs/>
          <w:sz w:val="22"/>
          <w:szCs w:val="22"/>
        </w:rPr>
      </w:pPr>
      <w:r w:rsidRPr="00804C4B">
        <w:rPr>
          <w:rFonts w:cs="Arial"/>
          <w:b/>
          <w:bCs/>
          <w:sz w:val="22"/>
          <w:szCs w:val="22"/>
        </w:rPr>
        <w:lastRenderedPageBreak/>
        <w:t>Verfahren bei sexueller Belästigung</w:t>
      </w:r>
    </w:p>
    <w:p w14:paraId="4D1CD5BF" w14:textId="77777777" w:rsidR="00CF3F40" w:rsidRPr="00804C4B" w:rsidRDefault="00CF3F40" w:rsidP="00CF3F40">
      <w:pPr>
        <w:rPr>
          <w:rFonts w:cs="Arial"/>
          <w:szCs w:val="20"/>
        </w:rPr>
      </w:pPr>
      <w:r w:rsidRPr="00804C4B">
        <w:rPr>
          <w:rFonts w:cs="Arial"/>
          <w:szCs w:val="20"/>
        </w:rPr>
        <w:t xml:space="preserve">Zur Klärung des Sachverhalts werden Gespräche mit allen involvierten Personen durchgeführt und protokolliert. Wir besprechen das weitere Vorgehen und bleiben so transparent wie möglich, wobei wir die Vertraulichkeit und den Datenschutz jedes einzelnen Mitarbeiters / jeder einzelnen Mitarbeiterin beachten. Massnahmen werden getroffen, wenn sich ein Verdacht sexueller Belästigung durch die Aussagen erhärtet oder ein Vorfall eindeutig beobachtet wurde. </w:t>
      </w:r>
    </w:p>
    <w:p w14:paraId="6640CE3C" w14:textId="77777777" w:rsidR="00CF3F40" w:rsidRPr="00804C4B" w:rsidRDefault="00CF3F40" w:rsidP="00CF3F40">
      <w:pPr>
        <w:rPr>
          <w:rFonts w:cs="Arial"/>
          <w:szCs w:val="20"/>
        </w:rPr>
      </w:pPr>
    </w:p>
    <w:p w14:paraId="5F34C96F" w14:textId="77777777" w:rsidR="00CF3F40" w:rsidRPr="00804C4B" w:rsidRDefault="00CF3F40" w:rsidP="00CF3F40">
      <w:pPr>
        <w:rPr>
          <w:rFonts w:cs="Arial"/>
          <w:b/>
          <w:bCs/>
          <w:sz w:val="22"/>
          <w:szCs w:val="22"/>
        </w:rPr>
      </w:pPr>
      <w:r w:rsidRPr="00804C4B">
        <w:rPr>
          <w:rFonts w:cs="Arial"/>
          <w:b/>
          <w:bCs/>
          <w:sz w:val="22"/>
          <w:szCs w:val="22"/>
        </w:rPr>
        <w:t>Konsequenzen für die belästigende Person</w:t>
      </w:r>
    </w:p>
    <w:p w14:paraId="072087E9" w14:textId="77777777" w:rsidR="00CF3F40" w:rsidRPr="00804C4B" w:rsidRDefault="00CF3F40" w:rsidP="00CF3F40">
      <w:pPr>
        <w:rPr>
          <w:rFonts w:cs="Arial"/>
          <w:szCs w:val="20"/>
        </w:rPr>
      </w:pPr>
      <w:r w:rsidRPr="00804C4B">
        <w:rPr>
          <w:rFonts w:cs="Arial"/>
          <w:szCs w:val="20"/>
        </w:rPr>
        <w:t>Für die belästigende Person kann eine sexuelle Belästigung folgende Konsequenzen haben:</w:t>
      </w:r>
    </w:p>
    <w:p w14:paraId="060AAE4B"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Aufforderung zu einer schriftlichen Entschuldigung bei der betroffenen Person</w:t>
      </w:r>
    </w:p>
    <w:p w14:paraId="62CD3302"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Schriftlicher Verweis</w:t>
      </w:r>
    </w:p>
    <w:p w14:paraId="752AC3AB"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Verwarnung unter Androhung der Kündigung</w:t>
      </w:r>
    </w:p>
    <w:p w14:paraId="04A15F33"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Versetzung</w:t>
      </w:r>
    </w:p>
    <w:p w14:paraId="3DCDE68B"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Ordentliche oder fristlose Kündigung</w:t>
      </w:r>
    </w:p>
    <w:p w14:paraId="1F12331F" w14:textId="77777777" w:rsidR="00CF3F40" w:rsidRPr="00804C4B" w:rsidRDefault="00CF3F40" w:rsidP="00CF3F40">
      <w:pPr>
        <w:pStyle w:val="Listenabsatz"/>
        <w:numPr>
          <w:ilvl w:val="0"/>
          <w:numId w:val="29"/>
        </w:numPr>
        <w:tabs>
          <w:tab w:val="clear" w:pos="1401"/>
        </w:tabs>
        <w:spacing w:after="160"/>
        <w:contextualSpacing/>
        <w:rPr>
          <w:rFonts w:cs="Arial"/>
          <w:szCs w:val="20"/>
          <w:lang w:val="de-CH"/>
        </w:rPr>
      </w:pPr>
      <w:r w:rsidRPr="00804C4B">
        <w:rPr>
          <w:rFonts w:cs="Arial"/>
          <w:szCs w:val="20"/>
          <w:lang w:val="de-CH"/>
        </w:rPr>
        <w:t>Zivil- und strafrechtliche Schritte bleiben vorbehalten</w:t>
      </w:r>
    </w:p>
    <w:p w14:paraId="183FF0D3" w14:textId="77777777" w:rsidR="00CF3F40" w:rsidRPr="00804C4B" w:rsidRDefault="00CF3F40" w:rsidP="00CF3F40">
      <w:pPr>
        <w:rPr>
          <w:rFonts w:cs="Arial"/>
          <w:szCs w:val="20"/>
        </w:rPr>
      </w:pPr>
      <w:r w:rsidRPr="00804C4B">
        <w:rPr>
          <w:rFonts w:cs="Arial"/>
          <w:szCs w:val="20"/>
        </w:rPr>
        <w:t>Für die belästigte Person dürfen aus den Massnahmen keinerlei berufliche Nachteile entstehen.</w:t>
      </w:r>
    </w:p>
    <w:p w14:paraId="680689D8" w14:textId="77777777" w:rsidR="00CF3F40" w:rsidRPr="00804C4B" w:rsidRDefault="00CF3F40" w:rsidP="00CF3F40">
      <w:pPr>
        <w:rPr>
          <w:rFonts w:cs="Arial"/>
          <w:szCs w:val="20"/>
        </w:rPr>
      </w:pPr>
    </w:p>
    <w:p w14:paraId="5DE31057" w14:textId="77777777" w:rsidR="00CF3F40" w:rsidRPr="00804C4B" w:rsidRDefault="00CF3F40" w:rsidP="00CF3F40">
      <w:pPr>
        <w:rPr>
          <w:rFonts w:cs="Arial"/>
          <w:b/>
          <w:bCs/>
          <w:sz w:val="22"/>
          <w:szCs w:val="22"/>
        </w:rPr>
      </w:pPr>
      <w:r w:rsidRPr="00804C4B">
        <w:rPr>
          <w:rFonts w:cs="Arial"/>
          <w:b/>
          <w:bCs/>
          <w:sz w:val="22"/>
          <w:szCs w:val="22"/>
        </w:rPr>
        <w:t>Anlaufstelle im Betrieb</w:t>
      </w:r>
    </w:p>
    <w:p w14:paraId="14DED322" w14:textId="358E78A6" w:rsidR="00CF3F40" w:rsidRPr="00804C4B" w:rsidRDefault="00CF3F40" w:rsidP="00CF3F40">
      <w:pPr>
        <w:rPr>
          <w:rFonts w:cs="Arial"/>
          <w:color w:val="007BB0"/>
          <w:szCs w:val="20"/>
        </w:rPr>
      </w:pPr>
      <w:r w:rsidRPr="00804C4B">
        <w:rPr>
          <w:rFonts w:cs="Arial"/>
          <w:szCs w:val="20"/>
        </w:rPr>
        <w:t>Folgende Ansprechpersonen stehen Ihnen vertraulich zur Verfügung:</w:t>
      </w:r>
      <w:r w:rsidRPr="00804C4B">
        <w:rPr>
          <w:rStyle w:val="HervorhebungLeicht"/>
          <w:rFonts w:ascii="Arial" w:hAnsi="Arial" w:cs="Arial"/>
          <w:lang w:val="de-CH"/>
        </w:rPr>
        <w:t xml:space="preserve"> </w:t>
      </w:r>
      <w:r w:rsidRPr="00804C4B">
        <w:rPr>
          <w:rStyle w:val="HervorhebungLeicht"/>
          <w:rFonts w:ascii="Arial" w:hAnsi="Arial" w:cs="Arial"/>
          <w:sz w:val="20"/>
          <w:szCs w:val="20"/>
          <w:lang w:val="de-CH"/>
        </w:rPr>
        <w:t>[Zuständige Person im Betrieb oder externe Beratungsstelle].</w:t>
      </w:r>
    </w:p>
    <w:sectPr w:rsidR="00CF3F40" w:rsidRPr="00804C4B"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C9C5" w14:textId="77777777" w:rsidR="00210161" w:rsidRDefault="00210161" w:rsidP="000A5A96">
      <w:pPr>
        <w:spacing w:line="240" w:lineRule="auto"/>
      </w:pPr>
      <w:r>
        <w:separator/>
      </w:r>
    </w:p>
  </w:endnote>
  <w:endnote w:type="continuationSeparator" w:id="0">
    <w:p w14:paraId="1588E0B4" w14:textId="77777777" w:rsidR="00210161" w:rsidRDefault="00210161"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30F0919A"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180E8FD9"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B13594" w14:textId="77777777" w:rsidR="000A5A96" w:rsidRDefault="000A5A96" w:rsidP="000A5A96">
    <w:pPr>
      <w:pStyle w:val="Fuzeile"/>
      <w:ind w:right="360"/>
    </w:pPr>
  </w:p>
  <w:p w14:paraId="066115A8"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17CE" w14:textId="77777777" w:rsidR="00CF3F40" w:rsidRPr="008B7A03" w:rsidRDefault="00CF3F40" w:rsidP="00CF3F40">
    <w:pPr>
      <w:pStyle w:val="Fuzeile"/>
      <w:jc w:val="right"/>
      <w:rPr>
        <w:szCs w:val="20"/>
      </w:rPr>
    </w:pPr>
    <w:r w:rsidRPr="008B7A03">
      <w:rPr>
        <w:rFonts w:cs="Arial"/>
        <w:szCs w:val="20"/>
        <w:highlight w:val="lightGray"/>
      </w:rPr>
      <w:fldChar w:fldCharType="begin"/>
    </w:r>
    <w:r w:rsidRPr="008B7A03">
      <w:rPr>
        <w:rFonts w:cs="Arial"/>
        <w:szCs w:val="20"/>
        <w:highlight w:val="lightGray"/>
      </w:rPr>
      <w:instrText xml:space="preserve"> MACROBUTTON  AblehnenAlleÄnderungenAngezeigt [Ort, Datum]</w:instrText>
    </w:r>
    <w:r w:rsidRPr="008B7A03">
      <w:rPr>
        <w:rFonts w:cs="Arial"/>
        <w:szCs w:val="20"/>
        <w:highlight w:val="lightGray"/>
      </w:rPr>
      <w:fldChar w:fldCharType="end"/>
    </w:r>
  </w:p>
  <w:p w14:paraId="726CCEEA" w14:textId="77777777" w:rsidR="006C2C2A" w:rsidRDefault="006C2C2A" w:rsidP="00CF3F40">
    <w:pPr>
      <w:tabs>
        <w:tab w:val="right" w:pos="96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6365" w14:textId="77777777" w:rsidR="00210161" w:rsidRDefault="00210161" w:rsidP="000A5A96">
      <w:pPr>
        <w:spacing w:line="240" w:lineRule="auto"/>
      </w:pPr>
      <w:r>
        <w:separator/>
      </w:r>
    </w:p>
  </w:footnote>
  <w:footnote w:type="continuationSeparator" w:id="0">
    <w:p w14:paraId="7CA8D858" w14:textId="77777777" w:rsidR="00210161" w:rsidRDefault="00210161"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4325"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50FDAD12"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30457"/>
    <w:multiLevelType w:val="multilevel"/>
    <w:tmpl w:val="348655AA"/>
    <w:numStyleLink w:val="Liste-"/>
  </w:abstractNum>
  <w:abstractNum w:abstractNumId="6" w15:restartNumberingAfterBreak="0">
    <w:nsid w:val="0E8956B6"/>
    <w:multiLevelType w:val="multilevel"/>
    <w:tmpl w:val="0407001D"/>
    <w:numStyleLink w:val="Liste"/>
  </w:abstractNum>
  <w:abstractNum w:abstractNumId="7" w15:restartNumberingAfterBreak="0">
    <w:nsid w:val="0EC550AC"/>
    <w:multiLevelType w:val="multilevel"/>
    <w:tmpl w:val="B84E26A4"/>
    <w:numStyleLink w:val="Aufzhlunglistea"/>
  </w:abstractNum>
  <w:abstractNum w:abstractNumId="8" w15:restartNumberingAfterBreak="0">
    <w:nsid w:val="119C4887"/>
    <w:multiLevelType w:val="multilevel"/>
    <w:tmpl w:val="0407001D"/>
    <w:numStyleLink w:val="Liste"/>
  </w:abstractNum>
  <w:abstractNum w:abstractNumId="9"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370673E"/>
    <w:multiLevelType w:val="multilevel"/>
    <w:tmpl w:val="64487874"/>
    <w:numStyleLink w:val="Aufzhlungsliste"/>
  </w:abstractNum>
  <w:abstractNum w:abstractNumId="11" w15:restartNumberingAfterBreak="0">
    <w:nsid w:val="14D91068"/>
    <w:multiLevelType w:val="multilevel"/>
    <w:tmpl w:val="7598C252"/>
    <w:numStyleLink w:val="exBulletList-"/>
  </w:abstractNum>
  <w:abstractNum w:abstractNumId="12"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25248D"/>
    <w:multiLevelType w:val="multilevel"/>
    <w:tmpl w:val="64487874"/>
    <w:numStyleLink w:val="Aufzhlungsliste"/>
  </w:abstractNum>
  <w:abstractNum w:abstractNumId="15"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DE617A"/>
    <w:multiLevelType w:val="multilevel"/>
    <w:tmpl w:val="7696FB90"/>
    <w:numStyleLink w:val="exBulletPoints"/>
  </w:abstractNum>
  <w:abstractNum w:abstractNumId="17" w15:restartNumberingAfterBreak="0">
    <w:nsid w:val="27C855CB"/>
    <w:multiLevelType w:val="multilevel"/>
    <w:tmpl w:val="0407001D"/>
    <w:numStyleLink w:val="Liste"/>
  </w:abstractNum>
  <w:abstractNum w:abstractNumId="18"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F35D7C"/>
    <w:multiLevelType w:val="hybridMultilevel"/>
    <w:tmpl w:val="3E128802"/>
    <w:lvl w:ilvl="0" w:tplc="C580720E">
      <w:start w:val="1"/>
      <w:numFmt w:val="bullet"/>
      <w:lvlText w:val=""/>
      <w:lvlJc w:val="left"/>
      <w:pPr>
        <w:ind w:left="992" w:hanging="42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DC3AB3"/>
    <w:multiLevelType w:val="multilevel"/>
    <w:tmpl w:val="7598C252"/>
    <w:numStyleLink w:val="exBulletList-"/>
  </w:abstractNum>
  <w:abstractNum w:abstractNumId="23"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D5401C"/>
    <w:multiLevelType w:val="hybridMultilevel"/>
    <w:tmpl w:val="5B7AAC7A"/>
    <w:lvl w:ilvl="0" w:tplc="C580720E">
      <w:start w:val="1"/>
      <w:numFmt w:val="bullet"/>
      <w:lvlText w:val=""/>
      <w:lvlJc w:val="left"/>
      <w:pPr>
        <w:ind w:left="992" w:hanging="42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6B5180D"/>
    <w:multiLevelType w:val="multilevel"/>
    <w:tmpl w:val="7696FB90"/>
    <w:numStyleLink w:val="exBulletPoints"/>
  </w:abstractNum>
  <w:abstractNum w:abstractNumId="27" w15:restartNumberingAfterBreak="0">
    <w:nsid w:val="6204078D"/>
    <w:multiLevelType w:val="multilevel"/>
    <w:tmpl w:val="7598C252"/>
    <w:numStyleLink w:val="exBulletList-"/>
  </w:abstractNum>
  <w:abstractNum w:abstractNumId="28" w15:restartNumberingAfterBreak="0">
    <w:nsid w:val="6BF726B8"/>
    <w:multiLevelType w:val="multilevel"/>
    <w:tmpl w:val="0407001D"/>
    <w:numStyleLink w:val="KstchenListe"/>
  </w:abstractNum>
  <w:abstractNum w:abstractNumId="29" w15:restartNumberingAfterBreak="0">
    <w:nsid w:val="759515CA"/>
    <w:multiLevelType w:val="hybridMultilevel"/>
    <w:tmpl w:val="A0AC886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16cid:durableId="1296763201">
    <w:abstractNumId w:val="2"/>
  </w:num>
  <w:num w:numId="2" w16cid:durableId="1391614159">
    <w:abstractNumId w:val="1"/>
  </w:num>
  <w:num w:numId="3" w16cid:durableId="1712726035">
    <w:abstractNumId w:val="0"/>
  </w:num>
  <w:num w:numId="4" w16cid:durableId="82773822">
    <w:abstractNumId w:val="19"/>
  </w:num>
  <w:num w:numId="5" w16cid:durableId="1842696781">
    <w:abstractNumId w:val="18"/>
  </w:num>
  <w:num w:numId="6" w16cid:durableId="407191990">
    <w:abstractNumId w:val="13"/>
  </w:num>
  <w:num w:numId="7" w16cid:durableId="1646469382">
    <w:abstractNumId w:val="21"/>
  </w:num>
  <w:num w:numId="8" w16cid:durableId="965936032">
    <w:abstractNumId w:val="3"/>
  </w:num>
  <w:num w:numId="9" w16cid:durableId="876044404">
    <w:abstractNumId w:val="24"/>
  </w:num>
  <w:num w:numId="10" w16cid:durableId="912929088">
    <w:abstractNumId w:val="23"/>
  </w:num>
  <w:num w:numId="11" w16cid:durableId="1601646206">
    <w:abstractNumId w:val="4"/>
  </w:num>
  <w:num w:numId="12" w16cid:durableId="1690401756">
    <w:abstractNumId w:val="28"/>
  </w:num>
  <w:num w:numId="13" w16cid:durableId="10187451">
    <w:abstractNumId w:val="9"/>
  </w:num>
  <w:num w:numId="14" w16cid:durableId="694354935">
    <w:abstractNumId w:val="26"/>
  </w:num>
  <w:num w:numId="15" w16cid:durableId="1241020980">
    <w:abstractNumId w:val="27"/>
  </w:num>
  <w:num w:numId="16" w16cid:durableId="29303062">
    <w:abstractNumId w:val="16"/>
  </w:num>
  <w:num w:numId="17" w16cid:durableId="940454561">
    <w:abstractNumId w:val="12"/>
  </w:num>
  <w:num w:numId="18" w16cid:durableId="1623421553">
    <w:abstractNumId w:val="15"/>
  </w:num>
  <w:num w:numId="19" w16cid:durableId="1176463323">
    <w:abstractNumId w:val="14"/>
  </w:num>
  <w:num w:numId="20" w16cid:durableId="59909608">
    <w:abstractNumId w:val="8"/>
  </w:num>
  <w:num w:numId="21" w16cid:durableId="113184279">
    <w:abstractNumId w:val="17"/>
  </w:num>
  <w:num w:numId="22" w16cid:durableId="1708292812">
    <w:abstractNumId w:val="5"/>
  </w:num>
  <w:num w:numId="23" w16cid:durableId="1891073937">
    <w:abstractNumId w:val="7"/>
  </w:num>
  <w:num w:numId="24" w16cid:durableId="337468956">
    <w:abstractNumId w:val="10"/>
  </w:num>
  <w:num w:numId="25" w16cid:durableId="402486789">
    <w:abstractNumId w:val="6"/>
  </w:num>
  <w:num w:numId="26" w16cid:durableId="1916937087">
    <w:abstractNumId w:val="29"/>
  </w:num>
  <w:num w:numId="27" w16cid:durableId="463813817">
    <w:abstractNumId w:val="25"/>
  </w:num>
  <w:num w:numId="28" w16cid:durableId="163594200">
    <w:abstractNumId w:val="20"/>
  </w:num>
  <w:num w:numId="29" w16cid:durableId="1397782083">
    <w:abstractNumId w:val="22"/>
  </w:num>
  <w:num w:numId="30" w16cid:durableId="88618151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40"/>
    <w:rsid w:val="00001A6D"/>
    <w:rsid w:val="00076F95"/>
    <w:rsid w:val="00081AE8"/>
    <w:rsid w:val="000A3DC9"/>
    <w:rsid w:val="000A4354"/>
    <w:rsid w:val="000A5A96"/>
    <w:rsid w:val="000B06BC"/>
    <w:rsid w:val="001214F8"/>
    <w:rsid w:val="0013277B"/>
    <w:rsid w:val="001A1371"/>
    <w:rsid w:val="001A2A9F"/>
    <w:rsid w:val="001C6850"/>
    <w:rsid w:val="001D18C0"/>
    <w:rsid w:val="001D7C1D"/>
    <w:rsid w:val="00205D0C"/>
    <w:rsid w:val="00210161"/>
    <w:rsid w:val="0022306B"/>
    <w:rsid w:val="0022355F"/>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E5E8F"/>
    <w:rsid w:val="00607F45"/>
    <w:rsid w:val="0066243E"/>
    <w:rsid w:val="00667B3F"/>
    <w:rsid w:val="00692B9B"/>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04C4B"/>
    <w:rsid w:val="008410EE"/>
    <w:rsid w:val="00846119"/>
    <w:rsid w:val="00852735"/>
    <w:rsid w:val="008621F6"/>
    <w:rsid w:val="008A2EA0"/>
    <w:rsid w:val="008B0E97"/>
    <w:rsid w:val="008B6FE5"/>
    <w:rsid w:val="008C2FEE"/>
    <w:rsid w:val="008C73BF"/>
    <w:rsid w:val="008E55F4"/>
    <w:rsid w:val="008F4399"/>
    <w:rsid w:val="009004B9"/>
    <w:rsid w:val="00993507"/>
    <w:rsid w:val="009C7C48"/>
    <w:rsid w:val="009D0F1F"/>
    <w:rsid w:val="00A02D40"/>
    <w:rsid w:val="00A1607E"/>
    <w:rsid w:val="00A62D76"/>
    <w:rsid w:val="00A62EFC"/>
    <w:rsid w:val="00A8420C"/>
    <w:rsid w:val="00A86D2D"/>
    <w:rsid w:val="00AA3C73"/>
    <w:rsid w:val="00AB36D2"/>
    <w:rsid w:val="00AD13C6"/>
    <w:rsid w:val="00AD3804"/>
    <w:rsid w:val="00AE642E"/>
    <w:rsid w:val="00AE67F4"/>
    <w:rsid w:val="00B06020"/>
    <w:rsid w:val="00B1240C"/>
    <w:rsid w:val="00B3668F"/>
    <w:rsid w:val="00B41624"/>
    <w:rsid w:val="00BB0BD8"/>
    <w:rsid w:val="00BE0EED"/>
    <w:rsid w:val="00BF1A30"/>
    <w:rsid w:val="00C159C0"/>
    <w:rsid w:val="00C61A15"/>
    <w:rsid w:val="00C67300"/>
    <w:rsid w:val="00C755A5"/>
    <w:rsid w:val="00C9091A"/>
    <w:rsid w:val="00C9335C"/>
    <w:rsid w:val="00CF39E2"/>
    <w:rsid w:val="00CF3F40"/>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A5395"/>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9DAD"/>
  <w15:chartTrackingRefBased/>
  <w15:docId w15:val="{19F88136-3518-461B-908D-4612936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6C72"/>
    <w:rPr>
      <w:rFonts w:ascii="Arial" w:hAnsi="Arial"/>
      <w:sz w:val="20"/>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paragraph" w:styleId="Kommentartext">
    <w:name w:val="annotation text"/>
    <w:basedOn w:val="Standard"/>
    <w:link w:val="KommentartextZchn"/>
    <w:uiPriority w:val="99"/>
    <w:unhideWhenUsed/>
    <w:rsid w:val="00CF3F40"/>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rsid w:val="00CF3F40"/>
    <w:rPr>
      <w:sz w:val="20"/>
      <w:szCs w:val="20"/>
    </w:rPr>
  </w:style>
  <w:style w:type="character" w:customStyle="1" w:styleId="HervorhebungLeicht">
    <w:name w:val="HervorhebungLeicht"/>
    <w:uiPriority w:val="1"/>
    <w:qFormat/>
    <w:rsid w:val="00CF3F40"/>
    <w:rPr>
      <w:rFonts w:ascii="TT Norms Pro" w:hAnsi="TT Norms Pro"/>
      <w:b w:val="0"/>
      <w:i w:val="0"/>
      <w:color w:val="007BB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2022-07-26T07:54:00Z</dcterms:created>
  <dcterms:modified xsi:type="dcterms:W3CDTF">2022-07-26T07:54:00Z</dcterms:modified>
</cp:coreProperties>
</file>